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701"/>
        <w:gridCol w:w="5103"/>
        <w:gridCol w:w="5245"/>
        <w:gridCol w:w="1359"/>
      </w:tblGrid>
      <w:tr w:rsidR="00A06425" w:rsidRPr="004B4123" w14:paraId="5CA981BB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577FCB5D" w14:textId="71DF2A02" w:rsidR="006C6369" w:rsidRPr="0077406D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1916D6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"</w:t>
            </w:r>
            <w:r w:rsidR="00144CC8" w:rsidRPr="00144CC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Rozwój Systemów Służących do Identyfikacji Elektronicznej i Składania Podpisów Elektronicznych (RSIEPE)</w:t>
            </w:r>
            <w:r w:rsidR="001916D6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"</w:t>
            </w:r>
            <w:r w:rsidR="006C6369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156004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156004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0518BC31" w14:textId="2396F0E9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KPI 1 – wartość docelowa</w:t>
            </w:r>
          </w:p>
        </w:tc>
        <w:tc>
          <w:tcPr>
            <w:tcW w:w="5103" w:type="dxa"/>
            <w:shd w:val="clear" w:color="auto" w:fill="auto"/>
          </w:tcPr>
          <w:p w14:paraId="20F861FE" w14:textId="69D1E85B" w:rsidR="009357E2" w:rsidRPr="007167B1" w:rsidRDefault="00134EDA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4EDA">
              <w:rPr>
                <w:rFonts w:asciiTheme="minorHAnsi" w:hAnsiTheme="minorHAnsi" w:cstheme="minorHAnsi"/>
                <w:sz w:val="22"/>
                <w:szCs w:val="22"/>
              </w:rPr>
              <w:t xml:space="preserve">Wartość docelowa dla KPI 1 została określona na poziomie 3. Tymczasem ze schematu architektury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34EDA">
              <w:rPr>
                <w:rFonts w:asciiTheme="minorHAnsi" w:hAnsiTheme="minorHAnsi" w:cstheme="minorHAnsi"/>
                <w:sz w:val="22"/>
                <w:szCs w:val="22"/>
              </w:rPr>
              <w:t xml:space="preserve">(pkt 7, </w:t>
            </w:r>
            <w:proofErr w:type="spellStart"/>
            <w:r w:rsidRPr="00134EDA">
              <w:rPr>
                <w:rFonts w:asciiTheme="minorHAnsi" w:hAnsiTheme="minorHAnsi" w:cstheme="minorHAnsi"/>
                <w:sz w:val="22"/>
                <w:szCs w:val="22"/>
              </w:rPr>
              <w:t>ppkt</w:t>
            </w:r>
            <w:proofErr w:type="spellEnd"/>
            <w:r w:rsidRPr="00134EDA">
              <w:rPr>
                <w:rFonts w:asciiTheme="minorHAnsi" w:hAnsiTheme="minorHAnsi" w:cstheme="minorHAnsi"/>
                <w:sz w:val="22"/>
                <w:szCs w:val="22"/>
              </w:rPr>
              <w:t xml:space="preserve"> 7.1) wynika, że w ramach projektu planowane jest wdrożenie 4 systemów, a dodatkowo jeden system będzie podlegał modyfikacji, co łącznie daje 5 systemów.</w:t>
            </w:r>
          </w:p>
        </w:tc>
        <w:tc>
          <w:tcPr>
            <w:tcW w:w="5245" w:type="dxa"/>
            <w:shd w:val="clear" w:color="auto" w:fill="auto"/>
          </w:tcPr>
          <w:p w14:paraId="73D41DF8" w14:textId="48D6181D" w:rsidR="009357E2" w:rsidRPr="007167B1" w:rsidRDefault="001E6CC9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E6CC9">
              <w:rPr>
                <w:rFonts w:asciiTheme="minorHAnsi" w:hAnsiTheme="minorHAnsi" w:cstheme="minorHAnsi"/>
                <w:sz w:val="22"/>
                <w:szCs w:val="22"/>
              </w:rPr>
              <w:t xml:space="preserve">Aktualizacja zapisu dotyczącego wartości docelowej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E6CC9">
              <w:rPr>
                <w:rFonts w:asciiTheme="minorHAnsi" w:hAnsiTheme="minorHAnsi" w:cstheme="minorHAnsi"/>
                <w:sz w:val="22"/>
                <w:szCs w:val="22"/>
              </w:rPr>
              <w:t>KPI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5BDDF397" w14:textId="77777777" w:rsidTr="00156004">
        <w:tc>
          <w:tcPr>
            <w:tcW w:w="421" w:type="dxa"/>
            <w:shd w:val="clear" w:color="auto" w:fill="auto"/>
          </w:tcPr>
          <w:p w14:paraId="3E4DC648" w14:textId="1CCF2E59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48BC9272" w14:textId="666A3AAC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4836435B" w14:textId="52DC660A" w:rsidR="00F6122D" w:rsidRDefault="00F6122D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KPI 2</w:t>
            </w:r>
          </w:p>
          <w:p w14:paraId="054AF489" w14:textId="6A202B75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KPI 3 </w:t>
            </w:r>
          </w:p>
        </w:tc>
        <w:tc>
          <w:tcPr>
            <w:tcW w:w="5103" w:type="dxa"/>
            <w:shd w:val="clear" w:color="auto" w:fill="auto"/>
          </w:tcPr>
          <w:p w14:paraId="2793EC6F" w14:textId="124E58DB" w:rsidR="009357E2" w:rsidRPr="007167B1" w:rsidRDefault="00F6122D" w:rsidP="005C20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Wątpliwości budzi metoda pomiaru KPI 2 oraz KPI 3. 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 xml:space="preserve">Aby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obliczyć wartość docelową </w:t>
            </w:r>
            <w:r w:rsidR="0059209A">
              <w:rPr>
                <w:rFonts w:asciiTheme="minorHAnsi" w:hAnsiTheme="minorHAnsi" w:cstheme="minorHAnsi"/>
                <w:sz w:val="22"/>
                <w:szCs w:val="22"/>
              </w:rPr>
              <w:t xml:space="preserve">określającą </w:t>
            </w:r>
            <w:r w:rsidR="00D63B0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9209A">
              <w:rPr>
                <w:rFonts w:asciiTheme="minorHAnsi" w:hAnsiTheme="minorHAnsi" w:cstheme="minorHAnsi"/>
                <w:sz w:val="22"/>
                <w:szCs w:val="22"/>
              </w:rPr>
              <w:t xml:space="preserve">w procentach odpowiednio wzrost </w:t>
            </w:r>
            <w:r w:rsidR="005C20B1">
              <w:rPr>
                <w:rFonts w:asciiTheme="minorHAnsi" w:hAnsiTheme="minorHAnsi" w:cstheme="minorHAnsi"/>
                <w:sz w:val="22"/>
                <w:szCs w:val="22"/>
              </w:rPr>
              <w:t xml:space="preserve">liczby </w:t>
            </w:r>
            <w:r w:rsidR="0059209A">
              <w:rPr>
                <w:rFonts w:asciiTheme="minorHAnsi" w:hAnsiTheme="minorHAnsi" w:cstheme="minorHAnsi"/>
                <w:sz w:val="22"/>
                <w:szCs w:val="22"/>
              </w:rPr>
              <w:t xml:space="preserve">podmiotów publicznych, </w:t>
            </w:r>
            <w:r w:rsidR="0059209A" w:rsidRPr="0059209A">
              <w:rPr>
                <w:rFonts w:asciiTheme="minorHAnsi" w:hAnsiTheme="minorHAnsi" w:cstheme="minorHAnsi"/>
                <w:sz w:val="22"/>
                <w:szCs w:val="22"/>
              </w:rPr>
              <w:t>które będą korzystać z nowego</w:t>
            </w:r>
            <w:r w:rsidR="005920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209A" w:rsidRPr="0059209A">
              <w:rPr>
                <w:rFonts w:asciiTheme="minorHAnsi" w:hAnsiTheme="minorHAnsi" w:cstheme="minorHAnsi"/>
                <w:sz w:val="22"/>
                <w:szCs w:val="22"/>
              </w:rPr>
              <w:t>komponentu podpisów</w:t>
            </w:r>
            <w:r w:rsidR="0059209A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 w:rsidR="0059209A" w:rsidRPr="0059209A">
              <w:rPr>
                <w:rFonts w:asciiTheme="minorHAnsi" w:hAnsiTheme="minorHAnsi" w:cstheme="minorHAnsi"/>
                <w:sz w:val="22"/>
                <w:szCs w:val="22"/>
              </w:rPr>
              <w:t>skrócenie czasu</w:t>
            </w:r>
            <w:r w:rsidR="00D63B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209A" w:rsidRPr="0059209A">
              <w:rPr>
                <w:rFonts w:asciiTheme="minorHAnsi" w:hAnsiTheme="minorHAnsi" w:cstheme="minorHAnsi"/>
                <w:sz w:val="22"/>
                <w:szCs w:val="22"/>
              </w:rPr>
              <w:t>podpisywania dokumentów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 xml:space="preserve"> trzeba dysponować aktualną wartością liczby podmiotów publicznych oraz czasu podpisywania dokumentów. Opis</w:t>
            </w:r>
            <w:r w:rsidR="005C20B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0B1">
              <w:rPr>
                <w:rFonts w:asciiTheme="minorHAnsi" w:hAnsiTheme="minorHAnsi" w:cstheme="minorHAnsi"/>
                <w:sz w:val="22"/>
                <w:szCs w:val="22"/>
              </w:rPr>
              <w:t>KPI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 xml:space="preserve"> nie wskazuj</w:t>
            </w:r>
            <w:r w:rsidR="005811BB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 xml:space="preserve"> tych wartości ani nie zakłada</w:t>
            </w:r>
            <w:r w:rsidR="005811BB">
              <w:rPr>
                <w:rFonts w:asciiTheme="minorHAnsi" w:hAnsiTheme="minorHAnsi" w:cstheme="minorHAnsi"/>
                <w:sz w:val="22"/>
                <w:szCs w:val="22"/>
              </w:rPr>
              <w:t>ją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 xml:space="preserve"> ich pomiaru.</w:t>
            </w:r>
          </w:p>
        </w:tc>
        <w:tc>
          <w:tcPr>
            <w:tcW w:w="5245" w:type="dxa"/>
            <w:shd w:val="clear" w:color="auto" w:fill="auto"/>
          </w:tcPr>
          <w:p w14:paraId="70E22ECB" w14:textId="69B1A4D9" w:rsidR="009357E2" w:rsidRDefault="00E03A30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3A30">
              <w:rPr>
                <w:rFonts w:asciiTheme="minorHAnsi" w:hAnsiTheme="minorHAnsi" w:cstheme="minorHAnsi"/>
                <w:sz w:val="22"/>
                <w:szCs w:val="22"/>
              </w:rPr>
              <w:t xml:space="preserve">Należy </w:t>
            </w:r>
            <w:r w:rsidR="00F668E2">
              <w:rPr>
                <w:rFonts w:asciiTheme="minorHAnsi" w:hAnsiTheme="minorHAnsi" w:cstheme="minorHAnsi"/>
                <w:sz w:val="22"/>
                <w:szCs w:val="22"/>
              </w:rPr>
              <w:t>doprecyzować opis KPI 2 oraz KPI 3.</w:t>
            </w:r>
          </w:p>
        </w:tc>
        <w:tc>
          <w:tcPr>
            <w:tcW w:w="1359" w:type="dxa"/>
          </w:tcPr>
          <w:p w14:paraId="302A2519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5D47E4F3" w14:textId="77777777" w:rsidTr="00156004">
        <w:tc>
          <w:tcPr>
            <w:tcW w:w="421" w:type="dxa"/>
            <w:shd w:val="clear" w:color="auto" w:fill="auto"/>
          </w:tcPr>
          <w:p w14:paraId="2D2531D5" w14:textId="5331D4A3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06F58569" w14:textId="1459D5B1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140BC1A3" w14:textId="3460CDC1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3 - Kamienie milowe</w:t>
            </w:r>
          </w:p>
        </w:tc>
        <w:tc>
          <w:tcPr>
            <w:tcW w:w="5103" w:type="dxa"/>
            <w:shd w:val="clear" w:color="auto" w:fill="auto"/>
          </w:tcPr>
          <w:p w14:paraId="221033B1" w14:textId="0575C462" w:rsidR="009357E2" w:rsidRPr="007167B1" w:rsidRDefault="00611219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219">
              <w:rPr>
                <w:rFonts w:asciiTheme="minorHAnsi" w:hAnsiTheme="minorHAnsi" w:cstheme="minorHAnsi"/>
                <w:sz w:val="22"/>
                <w:szCs w:val="22"/>
              </w:rPr>
              <w:t xml:space="preserve">Zgodnie z planowanym terminem osiągnięcia kamieni milowych na marzec 2026 r. przewidziano jedynie wdrożenie Profilu Zaufanego 2.0, MVP oraz </w:t>
            </w:r>
            <w:proofErr w:type="spellStart"/>
            <w:r w:rsidRPr="00611219">
              <w:rPr>
                <w:rFonts w:asciiTheme="minorHAnsi" w:hAnsiTheme="minorHAnsi" w:cstheme="minorHAnsi"/>
                <w:sz w:val="22"/>
                <w:szCs w:val="22"/>
              </w:rPr>
              <w:t>back</w:t>
            </w:r>
            <w:proofErr w:type="spellEnd"/>
            <w:r w:rsidRPr="006112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11219">
              <w:rPr>
                <w:rFonts w:asciiTheme="minorHAnsi" w:hAnsiTheme="minorHAnsi" w:cstheme="minorHAnsi"/>
                <w:sz w:val="22"/>
                <w:szCs w:val="22"/>
              </w:rPr>
              <w:t>office</w:t>
            </w:r>
            <w:proofErr w:type="spellEnd"/>
            <w:r w:rsidRPr="00611219">
              <w:rPr>
                <w:rFonts w:asciiTheme="minorHAnsi" w:hAnsiTheme="minorHAnsi" w:cstheme="minorHAnsi"/>
                <w:sz w:val="22"/>
                <w:szCs w:val="22"/>
              </w:rPr>
              <w:t xml:space="preserve"> CT. Tymczasem ze schematu architektury wynikają odmienne wnioski (zob. uwaga </w:t>
            </w:r>
            <w:r w:rsidR="007965BB">
              <w:rPr>
                <w:rFonts w:asciiTheme="minorHAnsi" w:hAnsiTheme="minorHAnsi" w:cstheme="minorHAnsi"/>
                <w:sz w:val="22"/>
                <w:szCs w:val="22"/>
              </w:rPr>
              <w:t xml:space="preserve">nr 1 </w:t>
            </w:r>
            <w:r w:rsidRPr="00611219">
              <w:rPr>
                <w:rFonts w:asciiTheme="minorHAnsi" w:hAnsiTheme="minorHAnsi" w:cstheme="minorHAnsi"/>
                <w:sz w:val="22"/>
                <w:szCs w:val="22"/>
              </w:rPr>
              <w:t>do KPI 1).</w:t>
            </w:r>
          </w:p>
        </w:tc>
        <w:tc>
          <w:tcPr>
            <w:tcW w:w="5245" w:type="dxa"/>
            <w:shd w:val="clear" w:color="auto" w:fill="auto"/>
          </w:tcPr>
          <w:p w14:paraId="629BC23C" w14:textId="7C56C80B" w:rsidR="009357E2" w:rsidRDefault="002D3345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D3345">
              <w:rPr>
                <w:rFonts w:asciiTheme="minorHAnsi" w:hAnsiTheme="minorHAnsi" w:cstheme="minorHAnsi"/>
                <w:sz w:val="22"/>
                <w:szCs w:val="22"/>
              </w:rPr>
              <w:t>Należy zaktualizować tabelę kamieni milowych, tak aby odzwierciedlała pełny zakres projektu.</w:t>
            </w:r>
          </w:p>
        </w:tc>
        <w:tc>
          <w:tcPr>
            <w:tcW w:w="1359" w:type="dxa"/>
          </w:tcPr>
          <w:p w14:paraId="0C777172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5F4A7495" w14:textId="77777777" w:rsidTr="00156004">
        <w:tc>
          <w:tcPr>
            <w:tcW w:w="421" w:type="dxa"/>
            <w:shd w:val="clear" w:color="auto" w:fill="auto"/>
          </w:tcPr>
          <w:p w14:paraId="1127BA87" w14:textId="39B755EB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C2B8012" w14:textId="5567AEC8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6BDD00C3" w14:textId="1560940E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 4.2 - </w:t>
            </w:r>
            <w:r w:rsidRPr="0002701B">
              <w:rPr>
                <w:rFonts w:asciiTheme="minorHAnsi" w:hAnsiTheme="minorHAnsi" w:cstheme="minorHAnsi"/>
                <w:sz w:val="22"/>
                <w:szCs w:val="22"/>
              </w:rPr>
              <w:t>Wykaz poszczególnych pozycji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701B">
              <w:rPr>
                <w:rFonts w:asciiTheme="minorHAnsi" w:hAnsiTheme="minorHAnsi" w:cstheme="minorHAnsi"/>
                <w:sz w:val="22"/>
                <w:szCs w:val="22"/>
              </w:rPr>
              <w:t>kosztowych</w:t>
            </w:r>
          </w:p>
        </w:tc>
        <w:tc>
          <w:tcPr>
            <w:tcW w:w="5103" w:type="dxa"/>
            <w:shd w:val="clear" w:color="auto" w:fill="auto"/>
          </w:tcPr>
          <w:p w14:paraId="18732AF5" w14:textId="4A8559EF" w:rsidR="009357E2" w:rsidRPr="007167B1" w:rsidRDefault="002D3345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3345">
              <w:rPr>
                <w:rFonts w:asciiTheme="minorHAnsi" w:hAnsiTheme="minorHAnsi" w:cstheme="minorHAnsi"/>
                <w:sz w:val="22"/>
                <w:szCs w:val="22"/>
              </w:rPr>
              <w:t>Wykaz poszczególnych pozycji kosztowych jest niespójny z harmonogramem osiągania kamieni milowych. Część zadań ujętych w tych pozycjach, zgodnie z harmonogramem kamieni milowych, została już zrealizowana.</w:t>
            </w:r>
          </w:p>
        </w:tc>
        <w:tc>
          <w:tcPr>
            <w:tcW w:w="5245" w:type="dxa"/>
            <w:shd w:val="clear" w:color="auto" w:fill="auto"/>
          </w:tcPr>
          <w:p w14:paraId="1543C50F" w14:textId="6F65562E" w:rsidR="009357E2" w:rsidRDefault="002D3345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D3345">
              <w:rPr>
                <w:rFonts w:asciiTheme="minorHAnsi" w:hAnsiTheme="minorHAnsi" w:cstheme="minorHAnsi"/>
                <w:sz w:val="22"/>
                <w:szCs w:val="22"/>
              </w:rPr>
              <w:t>Należy zaktualizować wykaz poszczególnych pozycji kosztowych, tak aby uwzględniał aktualne dane wynikające z potrzeb niezbędnych do realizacji projektu, albo odpowiednio dostosować harmonogram kamieni milowych.</w:t>
            </w:r>
          </w:p>
        </w:tc>
        <w:tc>
          <w:tcPr>
            <w:tcW w:w="1359" w:type="dxa"/>
          </w:tcPr>
          <w:p w14:paraId="63EB91EF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43C1CF8A" w14:textId="77777777" w:rsidTr="00156004">
        <w:tc>
          <w:tcPr>
            <w:tcW w:w="421" w:type="dxa"/>
            <w:shd w:val="clear" w:color="auto" w:fill="auto"/>
          </w:tcPr>
          <w:p w14:paraId="46FFFA8F" w14:textId="4967F701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53C2493" w14:textId="05A9137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4F54196E" w14:textId="590A6326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 4.2 - </w:t>
            </w:r>
            <w:r w:rsidRPr="0002701B">
              <w:rPr>
                <w:rFonts w:asciiTheme="minorHAnsi" w:hAnsiTheme="minorHAnsi" w:cstheme="minorHAnsi"/>
                <w:sz w:val="22"/>
                <w:szCs w:val="22"/>
              </w:rPr>
              <w:t>Wykaz poszczególnych pozycji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701B">
              <w:rPr>
                <w:rFonts w:asciiTheme="minorHAnsi" w:hAnsiTheme="minorHAnsi" w:cstheme="minorHAnsi"/>
                <w:sz w:val="22"/>
                <w:szCs w:val="22"/>
              </w:rPr>
              <w:t>kosztowych</w:t>
            </w:r>
          </w:p>
        </w:tc>
        <w:tc>
          <w:tcPr>
            <w:tcW w:w="5103" w:type="dxa"/>
            <w:shd w:val="clear" w:color="auto" w:fill="auto"/>
          </w:tcPr>
          <w:p w14:paraId="68607EBB" w14:textId="7A496643" w:rsidR="009357E2" w:rsidRPr="007167B1" w:rsidRDefault="00375A04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5A04">
              <w:rPr>
                <w:rFonts w:asciiTheme="minorHAnsi" w:hAnsiTheme="minorHAnsi" w:cstheme="minorHAnsi"/>
                <w:sz w:val="22"/>
                <w:szCs w:val="22"/>
              </w:rPr>
              <w:t xml:space="preserve">W pozycji kosztowej „Bezpieczeństwo” brakuje wskazania konkretnych zadań realizowanych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75A04">
              <w:rPr>
                <w:rFonts w:asciiTheme="minorHAnsi" w:hAnsiTheme="minorHAnsi" w:cstheme="minorHAnsi"/>
                <w:sz w:val="22"/>
                <w:szCs w:val="22"/>
              </w:rPr>
              <w:t>w obszarze bezpieczeństwa.</w:t>
            </w:r>
          </w:p>
        </w:tc>
        <w:tc>
          <w:tcPr>
            <w:tcW w:w="5245" w:type="dxa"/>
            <w:shd w:val="clear" w:color="auto" w:fill="auto"/>
          </w:tcPr>
          <w:p w14:paraId="58EAA9BE" w14:textId="36AB80A4" w:rsidR="009357E2" w:rsidRDefault="00375A04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75A04">
              <w:rPr>
                <w:rFonts w:asciiTheme="minorHAnsi" w:hAnsiTheme="minorHAnsi" w:cstheme="minorHAnsi"/>
                <w:sz w:val="22"/>
                <w:szCs w:val="22"/>
              </w:rPr>
              <w:t xml:space="preserve">Należy zmienić opis w pozycji kosztowej „Bezpieczeństwo”, wskazując konkretne działania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75A04">
              <w:rPr>
                <w:rFonts w:asciiTheme="minorHAnsi" w:hAnsiTheme="minorHAnsi" w:cstheme="minorHAnsi"/>
                <w:sz w:val="22"/>
                <w:szCs w:val="22"/>
              </w:rPr>
              <w:t xml:space="preserve">z zakresu bezpieczeństwa, które zostaną zrealizowane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75A04">
              <w:rPr>
                <w:rFonts w:asciiTheme="minorHAnsi" w:hAnsiTheme="minorHAnsi" w:cstheme="minorHAnsi"/>
                <w:sz w:val="22"/>
                <w:szCs w:val="22"/>
              </w:rPr>
              <w:t xml:space="preserve">w celu spełnienia wymagań architektury </w:t>
            </w:r>
            <w:proofErr w:type="spellStart"/>
            <w:r w:rsidRPr="00375A04">
              <w:rPr>
                <w:rFonts w:asciiTheme="minorHAnsi" w:hAnsiTheme="minorHAnsi" w:cstheme="minorHAnsi"/>
                <w:sz w:val="22"/>
                <w:szCs w:val="22"/>
              </w:rPr>
              <w:t>mikro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serwisów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5A04">
              <w:rPr>
                <w:rFonts w:asciiTheme="minorHAnsi" w:hAnsiTheme="minorHAnsi" w:cstheme="minorHAnsi"/>
                <w:sz w:val="22"/>
                <w:szCs w:val="22"/>
              </w:rPr>
              <w:t>zastosowanej w projekcie.</w:t>
            </w:r>
          </w:p>
        </w:tc>
        <w:tc>
          <w:tcPr>
            <w:tcW w:w="1359" w:type="dxa"/>
          </w:tcPr>
          <w:p w14:paraId="3D7EC7BF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32B675BA" w14:textId="77777777" w:rsidTr="00156004">
        <w:tc>
          <w:tcPr>
            <w:tcW w:w="421" w:type="dxa"/>
            <w:shd w:val="clear" w:color="auto" w:fill="auto"/>
          </w:tcPr>
          <w:p w14:paraId="71E92F20" w14:textId="347BCB03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559" w:type="dxa"/>
            <w:shd w:val="clear" w:color="auto" w:fill="auto"/>
          </w:tcPr>
          <w:p w14:paraId="19C1CF8B" w14:textId="425B6EED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3B43D725" w14:textId="24967E83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Ppkt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5.1. </w:t>
            </w:r>
            <w:r w:rsidRPr="00423014">
              <w:rPr>
                <w:rFonts w:asciiTheme="minorHAnsi" w:hAnsiTheme="minorHAnsi" w:cstheme="minorHAnsi"/>
                <w:sz w:val="22"/>
                <w:szCs w:val="22"/>
              </w:rPr>
              <w:t>Ryzyka wpływające na realizację projektu</w:t>
            </w:r>
          </w:p>
        </w:tc>
        <w:tc>
          <w:tcPr>
            <w:tcW w:w="5103" w:type="dxa"/>
            <w:shd w:val="clear" w:color="auto" w:fill="auto"/>
          </w:tcPr>
          <w:p w14:paraId="34A18381" w14:textId="5EBD13D4" w:rsidR="009357E2" w:rsidRPr="007167B1" w:rsidRDefault="00BB2500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B2500">
              <w:rPr>
                <w:rFonts w:asciiTheme="minorHAnsi" w:hAnsiTheme="minorHAnsi" w:cstheme="minorHAnsi"/>
                <w:sz w:val="22"/>
                <w:szCs w:val="22"/>
              </w:rPr>
              <w:t>Dla ryzyka „Nieosiągnięcie celów oraz wskaźników projektu” przyjęto zbyt niskie prawdopodobieństwo jego wystąpienia.</w:t>
            </w:r>
          </w:p>
        </w:tc>
        <w:tc>
          <w:tcPr>
            <w:tcW w:w="5245" w:type="dxa"/>
            <w:shd w:val="clear" w:color="auto" w:fill="auto"/>
          </w:tcPr>
          <w:p w14:paraId="333EB645" w14:textId="59FBC8D8" w:rsidR="009357E2" w:rsidRDefault="00BB2500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B2500">
              <w:rPr>
                <w:rFonts w:asciiTheme="minorHAnsi" w:hAnsiTheme="minorHAnsi" w:cstheme="minorHAnsi"/>
                <w:sz w:val="22"/>
                <w:szCs w:val="22"/>
              </w:rPr>
              <w:t>W nawiązaniu do niejasnych wartości KPI, kamieni milowych oraz pozycji kosztowych, proponuje się zmianę poziomu prawdopodobieństwa na „średnie”.</w:t>
            </w:r>
          </w:p>
        </w:tc>
        <w:tc>
          <w:tcPr>
            <w:tcW w:w="1359" w:type="dxa"/>
          </w:tcPr>
          <w:p w14:paraId="07E336B5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2B26663B" w14:textId="77777777" w:rsidTr="00156004">
        <w:tc>
          <w:tcPr>
            <w:tcW w:w="421" w:type="dxa"/>
            <w:shd w:val="clear" w:color="auto" w:fill="auto"/>
          </w:tcPr>
          <w:p w14:paraId="55D4BD7A" w14:textId="0C28104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5D75C217" w14:textId="48BB5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09A3E538" w14:textId="22351A36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23014">
              <w:rPr>
                <w:rFonts w:asciiTheme="minorHAnsi" w:hAnsiTheme="minorHAnsi" w:cstheme="minorHAnsi"/>
                <w:sz w:val="22"/>
                <w:szCs w:val="22"/>
              </w:rPr>
              <w:t>Ppkt</w:t>
            </w:r>
            <w:proofErr w:type="spellEnd"/>
            <w:r w:rsidRPr="00423014">
              <w:rPr>
                <w:rFonts w:asciiTheme="minorHAnsi" w:hAnsiTheme="minorHAnsi" w:cstheme="minorHAnsi"/>
                <w:sz w:val="22"/>
                <w:szCs w:val="22"/>
              </w:rPr>
              <w:t xml:space="preserve"> 5.1. Ryzyka wpływające na realizację projektu</w:t>
            </w:r>
          </w:p>
        </w:tc>
        <w:tc>
          <w:tcPr>
            <w:tcW w:w="5103" w:type="dxa"/>
            <w:shd w:val="clear" w:color="auto" w:fill="auto"/>
          </w:tcPr>
          <w:p w14:paraId="6F9D484B" w14:textId="4B0656C4" w:rsidR="009357E2" w:rsidRPr="007167B1" w:rsidRDefault="004966A8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66A8">
              <w:rPr>
                <w:rFonts w:asciiTheme="minorHAnsi" w:hAnsiTheme="minorHAnsi" w:cstheme="minorHAnsi"/>
                <w:sz w:val="22"/>
                <w:szCs w:val="22"/>
              </w:rPr>
              <w:t>Dla ryzyka „Dostarczenie niedziałających lub niespełniających oczekiwań użytkowników produktów projektu” przyjęto zbyt niskie prawdopodobieństwo jego wystąpienia.</w:t>
            </w:r>
          </w:p>
        </w:tc>
        <w:tc>
          <w:tcPr>
            <w:tcW w:w="5245" w:type="dxa"/>
            <w:shd w:val="clear" w:color="auto" w:fill="auto"/>
          </w:tcPr>
          <w:p w14:paraId="7FEB52DD" w14:textId="56F91996" w:rsidR="009357E2" w:rsidRDefault="004966A8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966A8">
              <w:rPr>
                <w:rFonts w:asciiTheme="minorHAnsi" w:hAnsiTheme="minorHAnsi" w:cstheme="minorHAnsi"/>
                <w:sz w:val="22"/>
                <w:szCs w:val="22"/>
              </w:rPr>
              <w:t>W nawiązaniu do niejasności w pozycji kosztowej „Bezpieczeństwo” proponuje się zmianę poziomu prawdopodobieństwa na „średnie”.</w:t>
            </w:r>
          </w:p>
        </w:tc>
        <w:tc>
          <w:tcPr>
            <w:tcW w:w="1359" w:type="dxa"/>
          </w:tcPr>
          <w:p w14:paraId="01D6DE9A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7E2" w:rsidRPr="004B4123" w14:paraId="45434F73" w14:textId="77777777" w:rsidTr="00156004">
        <w:tc>
          <w:tcPr>
            <w:tcW w:w="421" w:type="dxa"/>
            <w:shd w:val="clear" w:color="auto" w:fill="auto"/>
          </w:tcPr>
          <w:p w14:paraId="3E2EFF56" w14:textId="780533A1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C0648DB" w14:textId="57505BAF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701" w:type="dxa"/>
            <w:shd w:val="clear" w:color="auto" w:fill="auto"/>
          </w:tcPr>
          <w:p w14:paraId="379DC57A" w14:textId="77777777" w:rsidR="009357E2" w:rsidRPr="00590690" w:rsidRDefault="009357E2" w:rsidP="009357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Ppkt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7.3. poz. 3 w tabeli - </w:t>
            </w:r>
            <w:r w:rsidRPr="00590690">
              <w:rPr>
                <w:rFonts w:asciiTheme="minorHAnsi" w:hAnsiTheme="minorHAnsi" w:cstheme="minorHAnsi"/>
                <w:sz w:val="22"/>
                <w:szCs w:val="22"/>
              </w:rPr>
              <w:t>Standardy wymiany</w:t>
            </w:r>
          </w:p>
          <w:p w14:paraId="0825BF65" w14:textId="3B8272F0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690">
              <w:rPr>
                <w:rFonts w:asciiTheme="minorHAnsi" w:hAnsiTheme="minorHAnsi" w:cstheme="minorHAnsi"/>
                <w:sz w:val="22"/>
                <w:szCs w:val="22"/>
              </w:rPr>
              <w:t>danych</w:t>
            </w:r>
          </w:p>
        </w:tc>
        <w:tc>
          <w:tcPr>
            <w:tcW w:w="5103" w:type="dxa"/>
            <w:shd w:val="clear" w:color="auto" w:fill="auto"/>
          </w:tcPr>
          <w:p w14:paraId="2B2C4442" w14:textId="08E4B507" w:rsidR="009357E2" w:rsidRPr="007167B1" w:rsidRDefault="009C22E4" w:rsidP="009357E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2E4">
              <w:rPr>
                <w:rFonts w:asciiTheme="minorHAnsi" w:hAnsiTheme="minorHAnsi" w:cstheme="minorHAnsi"/>
                <w:sz w:val="22"/>
                <w:szCs w:val="22"/>
              </w:rPr>
              <w:t xml:space="preserve">Założenia technologiczne dotyczące standardów wymiany danych dla Węzła </w:t>
            </w:r>
            <w:r w:rsidR="00FD45C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C22E4">
              <w:rPr>
                <w:rFonts w:asciiTheme="minorHAnsi" w:hAnsiTheme="minorHAnsi" w:cstheme="minorHAnsi"/>
                <w:sz w:val="22"/>
                <w:szCs w:val="22"/>
              </w:rPr>
              <w:t>odpisu, Profilu Zaufanego 2.0, Węzła Krajowego 2.0 oraz SIE (</w:t>
            </w:r>
            <w:proofErr w:type="spellStart"/>
            <w:r w:rsidRPr="009C22E4">
              <w:rPr>
                <w:rFonts w:asciiTheme="minorHAnsi" w:hAnsiTheme="minorHAnsi" w:cstheme="minorHAnsi"/>
                <w:sz w:val="22"/>
                <w:szCs w:val="22"/>
              </w:rPr>
              <w:t>eDowód</w:t>
            </w:r>
            <w:proofErr w:type="spellEnd"/>
            <w:r w:rsidRPr="009C22E4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22E4">
              <w:rPr>
                <w:rFonts w:asciiTheme="minorHAnsi" w:hAnsiTheme="minorHAnsi" w:cstheme="minorHAnsi"/>
                <w:sz w:val="22"/>
                <w:szCs w:val="22"/>
              </w:rPr>
              <w:t xml:space="preserve">– SOAP (WS-Security) i SAML 2.0 – nie są optymalne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22E4">
              <w:rPr>
                <w:rFonts w:asciiTheme="minorHAnsi" w:hAnsiTheme="minorHAnsi" w:cstheme="minorHAnsi"/>
                <w:sz w:val="22"/>
                <w:szCs w:val="22"/>
              </w:rPr>
              <w:t xml:space="preserve">dla architektury </w:t>
            </w:r>
            <w:proofErr w:type="spellStart"/>
            <w:r w:rsidRPr="009C22E4">
              <w:rPr>
                <w:rFonts w:asciiTheme="minorHAnsi" w:hAnsiTheme="minorHAnsi" w:cstheme="minorHAnsi"/>
                <w:sz w:val="22"/>
                <w:szCs w:val="22"/>
              </w:rPr>
              <w:t>mikroserwi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sów</w:t>
            </w:r>
            <w:proofErr w:type="spellEnd"/>
            <w:r w:rsidRPr="009C22E4">
              <w:rPr>
                <w:rFonts w:asciiTheme="minorHAnsi" w:hAnsiTheme="minorHAnsi" w:cstheme="minorHAnsi"/>
                <w:sz w:val="22"/>
                <w:szCs w:val="22"/>
              </w:rPr>
              <w:t xml:space="preserve"> aplikacji mobilnych.</w:t>
            </w:r>
          </w:p>
        </w:tc>
        <w:tc>
          <w:tcPr>
            <w:tcW w:w="5245" w:type="dxa"/>
            <w:shd w:val="clear" w:color="auto" w:fill="auto"/>
          </w:tcPr>
          <w:p w14:paraId="5C436527" w14:textId="674D4DA9" w:rsidR="009357E2" w:rsidRDefault="009C22E4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C22E4">
              <w:rPr>
                <w:rFonts w:asciiTheme="minorHAnsi" w:hAnsiTheme="minorHAnsi" w:cstheme="minorHAnsi"/>
                <w:sz w:val="22"/>
                <w:szCs w:val="22"/>
              </w:rPr>
              <w:t xml:space="preserve">Do analizy i rozważenia proponuje się zastosowanie rozwiązań takich jak OIDC, OAuth2 oraz JWT, które są powszechnie stosowane w architekturze </w:t>
            </w:r>
            <w:proofErr w:type="spellStart"/>
            <w:r w:rsidRPr="009C22E4">
              <w:rPr>
                <w:rFonts w:asciiTheme="minorHAnsi" w:hAnsiTheme="minorHAnsi" w:cstheme="minorHAnsi"/>
                <w:sz w:val="22"/>
                <w:szCs w:val="22"/>
              </w:rPr>
              <w:t>mikrose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rwisów</w:t>
            </w:r>
            <w:proofErr w:type="spellEnd"/>
            <w:r w:rsidRPr="009C22E4">
              <w:rPr>
                <w:rFonts w:asciiTheme="minorHAnsi" w:hAnsiTheme="minorHAnsi" w:cstheme="minorHAnsi"/>
                <w:sz w:val="22"/>
                <w:szCs w:val="22"/>
              </w:rPr>
              <w:t>. Przy odpowiedniej konfiguracji umożliwiają one zachowanie kompatybilności wstecznej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tj. </w:t>
            </w:r>
            <w:r w:rsidRPr="009C22E4">
              <w:rPr>
                <w:rFonts w:asciiTheme="minorHAnsi" w:hAnsiTheme="minorHAnsi" w:cstheme="minorHAnsi"/>
                <w:sz w:val="22"/>
                <w:szCs w:val="22"/>
              </w:rPr>
              <w:t>SAML 2.0), zwiększają elastyczność oraz zapewniają nowoczesne podejście do bezpieczeństwa i uwierzytelniania.</w:t>
            </w:r>
          </w:p>
        </w:tc>
        <w:tc>
          <w:tcPr>
            <w:tcW w:w="1359" w:type="dxa"/>
          </w:tcPr>
          <w:p w14:paraId="208C6675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E1A3" w14:textId="77777777" w:rsidR="00E340EE" w:rsidRDefault="00E340EE" w:rsidP="00177C39">
      <w:r>
        <w:separator/>
      </w:r>
    </w:p>
  </w:endnote>
  <w:endnote w:type="continuationSeparator" w:id="0">
    <w:p w14:paraId="76361953" w14:textId="77777777" w:rsidR="00E340EE" w:rsidRDefault="00E340EE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17AF9" w14:textId="77777777" w:rsidR="00E340EE" w:rsidRDefault="00E340EE" w:rsidP="00177C39">
      <w:r>
        <w:separator/>
      </w:r>
    </w:p>
  </w:footnote>
  <w:footnote w:type="continuationSeparator" w:id="0">
    <w:p w14:paraId="348DB028" w14:textId="77777777" w:rsidR="00E340EE" w:rsidRDefault="00E340EE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D3D53"/>
    <w:rsid w:val="0011061D"/>
    <w:rsid w:val="00134EDA"/>
    <w:rsid w:val="00140BE8"/>
    <w:rsid w:val="00144CC8"/>
    <w:rsid w:val="00156004"/>
    <w:rsid w:val="00160299"/>
    <w:rsid w:val="00177C39"/>
    <w:rsid w:val="001916D6"/>
    <w:rsid w:val="0019648E"/>
    <w:rsid w:val="001E0AA1"/>
    <w:rsid w:val="001E6CC9"/>
    <w:rsid w:val="002116EE"/>
    <w:rsid w:val="00247D6B"/>
    <w:rsid w:val="002715B2"/>
    <w:rsid w:val="00281D0C"/>
    <w:rsid w:val="002D3345"/>
    <w:rsid w:val="0030053F"/>
    <w:rsid w:val="003124D1"/>
    <w:rsid w:val="00375A04"/>
    <w:rsid w:val="00382D36"/>
    <w:rsid w:val="003B4105"/>
    <w:rsid w:val="004119F9"/>
    <w:rsid w:val="004966A8"/>
    <w:rsid w:val="004B4123"/>
    <w:rsid w:val="004D086F"/>
    <w:rsid w:val="005741DF"/>
    <w:rsid w:val="005811BB"/>
    <w:rsid w:val="0059209A"/>
    <w:rsid w:val="005C20B1"/>
    <w:rsid w:val="005C520F"/>
    <w:rsid w:val="005E3BB5"/>
    <w:rsid w:val="005F6527"/>
    <w:rsid w:val="00611219"/>
    <w:rsid w:val="006705EC"/>
    <w:rsid w:val="006C6369"/>
    <w:rsid w:val="006E013E"/>
    <w:rsid w:val="006E16E9"/>
    <w:rsid w:val="007167B1"/>
    <w:rsid w:val="007231AA"/>
    <w:rsid w:val="00756F02"/>
    <w:rsid w:val="0077406D"/>
    <w:rsid w:val="0079500D"/>
    <w:rsid w:val="007965BB"/>
    <w:rsid w:val="007B2E69"/>
    <w:rsid w:val="00807385"/>
    <w:rsid w:val="00825A2F"/>
    <w:rsid w:val="0088500F"/>
    <w:rsid w:val="00906D07"/>
    <w:rsid w:val="009357E2"/>
    <w:rsid w:val="00944932"/>
    <w:rsid w:val="009664EC"/>
    <w:rsid w:val="009C22E4"/>
    <w:rsid w:val="009E5FDB"/>
    <w:rsid w:val="00A06425"/>
    <w:rsid w:val="00A31A0A"/>
    <w:rsid w:val="00A43245"/>
    <w:rsid w:val="00AB2345"/>
    <w:rsid w:val="00AC7796"/>
    <w:rsid w:val="00B324BD"/>
    <w:rsid w:val="00B871B6"/>
    <w:rsid w:val="00BB2500"/>
    <w:rsid w:val="00C64B1B"/>
    <w:rsid w:val="00CD5EB0"/>
    <w:rsid w:val="00D63B08"/>
    <w:rsid w:val="00D940EC"/>
    <w:rsid w:val="00DB1F32"/>
    <w:rsid w:val="00DF4CB3"/>
    <w:rsid w:val="00E03A30"/>
    <w:rsid w:val="00E14C33"/>
    <w:rsid w:val="00E340EE"/>
    <w:rsid w:val="00F4586F"/>
    <w:rsid w:val="00F6122D"/>
    <w:rsid w:val="00F668E2"/>
    <w:rsid w:val="00F85703"/>
    <w:rsid w:val="00FA7392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40</cp:revision>
  <dcterms:created xsi:type="dcterms:W3CDTF">2025-11-13T07:17:00Z</dcterms:created>
  <dcterms:modified xsi:type="dcterms:W3CDTF">2026-03-04T11:13:00Z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